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E4" w:rsidRDefault="001067F6" w:rsidP="001C71E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OSNOVNA ŠKOLA VODICE</w:t>
      </w:r>
    </w:p>
    <w:p w:rsidR="001C71E4" w:rsidRDefault="001067F6" w:rsidP="001C71E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Mićin</w:t>
      </w:r>
      <w:proofErr w:type="spellEnd"/>
      <w:r>
        <w:rPr>
          <w:b/>
          <w:sz w:val="40"/>
          <w:szCs w:val="40"/>
        </w:rPr>
        <w:t xml:space="preserve"> Stanka </w:t>
      </w:r>
      <w:proofErr w:type="spellStart"/>
      <w:r>
        <w:rPr>
          <w:b/>
          <w:sz w:val="40"/>
          <w:szCs w:val="40"/>
        </w:rPr>
        <w:t>bb</w:t>
      </w:r>
      <w:proofErr w:type="spellEnd"/>
    </w:p>
    <w:p w:rsidR="00C72897" w:rsidRDefault="001C71E4" w:rsidP="001C71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22211 Vodice </w:t>
      </w:r>
    </w:p>
    <w:p w:rsidR="00C72897" w:rsidRDefault="00C72897" w:rsidP="001C71E4">
      <w:pPr>
        <w:rPr>
          <w:b/>
          <w:sz w:val="40"/>
          <w:szCs w:val="40"/>
        </w:rPr>
      </w:pPr>
    </w:p>
    <w:p w:rsidR="001C71E4" w:rsidRDefault="001C71E4" w:rsidP="001C71E4">
      <w:pPr>
        <w:rPr>
          <w:b/>
          <w:sz w:val="40"/>
          <w:szCs w:val="40"/>
        </w:rPr>
      </w:pPr>
    </w:p>
    <w:p w:rsidR="00C72897" w:rsidRDefault="00431C83" w:rsidP="00431C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PRIJ</w:t>
      </w:r>
      <w:r w:rsidR="002B7896">
        <w:rPr>
          <w:b/>
          <w:sz w:val="40"/>
          <w:szCs w:val="40"/>
        </w:rPr>
        <w:t>EDLOG FINANCIJSKOG PLANA ZA 2020</w:t>
      </w:r>
      <w:r>
        <w:rPr>
          <w:b/>
          <w:sz w:val="40"/>
          <w:szCs w:val="40"/>
        </w:rPr>
        <w:t>.G.</w:t>
      </w:r>
    </w:p>
    <w:p w:rsidR="00C72897" w:rsidRDefault="00C72897" w:rsidP="00431C83">
      <w:pPr>
        <w:rPr>
          <w:b/>
          <w:sz w:val="40"/>
          <w:szCs w:val="40"/>
        </w:rPr>
      </w:pPr>
    </w:p>
    <w:p w:rsidR="009261CC" w:rsidRDefault="009261CC" w:rsidP="00431C83">
      <w:pPr>
        <w:rPr>
          <w:b/>
          <w:sz w:val="40"/>
          <w:szCs w:val="40"/>
        </w:rPr>
      </w:pPr>
    </w:p>
    <w:p w:rsidR="001C71E4" w:rsidRDefault="001C71E4" w:rsidP="001C71E4">
      <w:pPr>
        <w:jc w:val="center"/>
        <w:rPr>
          <w:b/>
          <w:sz w:val="40"/>
          <w:szCs w:val="40"/>
        </w:rPr>
      </w:pPr>
    </w:p>
    <w:p w:rsidR="001C71E4" w:rsidRDefault="001C71E4" w:rsidP="001C71E4">
      <w:pPr>
        <w:rPr>
          <w:b/>
          <w:sz w:val="18"/>
          <w:szCs w:val="18"/>
        </w:rPr>
      </w:pPr>
    </w:p>
    <w:p w:rsidR="001C71E4" w:rsidRDefault="00C9071D" w:rsidP="001C71E4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Financijsko izvješće </w:t>
      </w:r>
      <w:r w:rsidR="001C71E4">
        <w:rPr>
          <w:b/>
          <w:sz w:val="18"/>
          <w:szCs w:val="18"/>
        </w:rPr>
        <w:t xml:space="preserve"> na 4. razini računskog plana     </w:t>
      </w:r>
      <w:r w:rsidR="001C71E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5386"/>
        <w:gridCol w:w="2127"/>
      </w:tblGrid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</w:t>
            </w:r>
          </w:p>
          <w:p w:rsidR="00835298" w:rsidRDefault="00835298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835298">
            <w:pPr>
              <w:rPr>
                <w:b/>
                <w:sz w:val="20"/>
                <w:szCs w:val="20"/>
              </w:rPr>
            </w:pP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6341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Tekuće pomoći od izvanproračunskih korisnika HZZ-a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431C83">
            <w:pPr>
              <w:jc w:val="right"/>
            </w:pPr>
            <w:r>
              <w:t>15.000,00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 xml:space="preserve">Pomoći od izvanproračunskih korisnika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431C83">
            <w:pPr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6361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Tekuće pomoći proračunskim korisnicima iz proračuna koji im nije nadležan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jc w:val="right"/>
            </w:pPr>
            <w:r>
              <w:t>8.000.000,00</w:t>
            </w:r>
          </w:p>
        </w:tc>
      </w:tr>
      <w:tr w:rsidR="001B53EF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EF" w:rsidRDefault="001B53EF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EF" w:rsidRDefault="005A1164">
            <w:pPr>
              <w:jc w:val="center"/>
            </w:pPr>
            <w:r>
              <w:t>6361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EF" w:rsidRDefault="005A1164">
            <w:r>
              <w:t>Tekuće</w:t>
            </w:r>
            <w:r w:rsidR="001B53EF">
              <w:t xml:space="preserve"> pomoći proračunskim korisnicima iz proračuna koji im nije nadležan</w:t>
            </w:r>
            <w:r>
              <w:t xml:space="preserve"> (</w:t>
            </w:r>
            <w:proofErr w:type="spellStart"/>
            <w:r>
              <w:t>ŽSV,prijevoz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EF" w:rsidRDefault="00BE0A66">
            <w:pPr>
              <w:jc w:val="right"/>
            </w:pPr>
            <w:r>
              <w:t>10.000,00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Pomoći proračunskim korisnicima iz proračuna koji im nije nadležan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jc w:val="right"/>
              <w:rPr>
                <w:b/>
              </w:rPr>
            </w:pPr>
            <w:r>
              <w:rPr>
                <w:b/>
              </w:rPr>
              <w:t>8.010.000,00</w:t>
            </w:r>
          </w:p>
        </w:tc>
      </w:tr>
      <w:tr w:rsidR="00E8183A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Default="00E8183A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Pr="00496E58" w:rsidRDefault="00DE1741">
            <w:pPr>
              <w:jc w:val="center"/>
            </w:pPr>
            <w:r>
              <w:t>6391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Pr="00496E58" w:rsidRDefault="00EC4FA7" w:rsidP="00EC4FA7">
            <w:r>
              <w:t>Tekući prijenosi između proračunskih korisnika istog proračuna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3A" w:rsidRPr="00496E58" w:rsidRDefault="00BE0A66">
            <w:pPr>
              <w:jc w:val="right"/>
            </w:pPr>
            <w:r>
              <w:t>0,00</w:t>
            </w:r>
          </w:p>
        </w:tc>
      </w:tr>
      <w:tr w:rsidR="00E8183A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Default="00E8183A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Pr="00EC4FA7" w:rsidRDefault="00DE1741">
            <w:pPr>
              <w:jc w:val="center"/>
            </w:pPr>
            <w:r>
              <w:t>6392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83A" w:rsidRPr="00EC4FA7" w:rsidRDefault="00EC4FA7">
            <w:r>
              <w:t>Kapitalni prijenosi između proračunskih korisnika istog proračuna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3A" w:rsidRPr="00EC4FA7" w:rsidRDefault="00BE0A66">
            <w:pPr>
              <w:jc w:val="right"/>
            </w:pPr>
            <w:r>
              <w:t>0,00</w:t>
            </w:r>
          </w:p>
        </w:tc>
      </w:tr>
      <w:tr w:rsidR="00835298" w:rsidTr="00496E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DE1741">
            <w:pPr>
              <w:jc w:val="center"/>
            </w:pPr>
            <w:r>
              <w:t>6393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496E58">
            <w:r>
              <w:t>Tekući prijenosi između proračunskih korisnika temeljem prijenosa EU sredstava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</w:pPr>
            <w:r>
              <w:t>158.250,00</w:t>
            </w:r>
          </w:p>
        </w:tc>
      </w:tr>
      <w:tr w:rsidR="00496E5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Pr="00496E58" w:rsidRDefault="00EC4F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Pr="00496E58" w:rsidRDefault="00496E58">
            <w:pPr>
              <w:jc w:val="center"/>
              <w:rPr>
                <w:b/>
              </w:rPr>
            </w:pPr>
            <w:r w:rsidRPr="00496E58">
              <w:rPr>
                <w:b/>
              </w:rPr>
              <w:t>639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Pr="00496E58" w:rsidRDefault="00496E58">
            <w:pPr>
              <w:rPr>
                <w:b/>
              </w:rPr>
            </w:pPr>
            <w:r w:rsidRPr="00496E58">
              <w:rPr>
                <w:b/>
              </w:rPr>
              <w:t>Prijenosi između proračunskih istog proračuna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58" w:rsidRPr="00496E58" w:rsidRDefault="00BE0A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158.250,00</w:t>
            </w:r>
          </w:p>
        </w:tc>
      </w:tr>
      <w:tr w:rsidR="00496E5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Pr="00496E58" w:rsidRDefault="00496E5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Pr="00496E58" w:rsidRDefault="00496E58">
            <w:pPr>
              <w:jc w:val="center"/>
            </w:pPr>
            <w:r w:rsidRPr="00496E58">
              <w:t>6413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58" w:rsidRDefault="00496E58">
            <w:r>
              <w:t>Kamate na oročena sredstva i depozite po viđenju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58" w:rsidRDefault="00BE0A66">
            <w:pPr>
              <w:snapToGrid w:val="0"/>
              <w:jc w:val="right"/>
            </w:pPr>
            <w: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DE17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6BE4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 xml:space="preserve">Prihodi od financijske imovine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6526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Ostali nespomenuti prihodi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</w:pPr>
            <w: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DE17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Prihodi po posebnim propisima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6631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Tekuće donacije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</w:pPr>
            <w: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6632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Kapitalne donacije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</w:pPr>
            <w: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5298" w:rsidRDefault="00E51E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Donacije od pravnih i fizičkih osoba izvan općeg proračuna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298" w:rsidRDefault="00BE0A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835298">
            <w:pPr>
              <w:snapToGri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6711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 xml:space="preserve">Prihodi iz nadležnog proračuna za financiranje rashoda poslovanja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BE0A66" w:rsidP="00025CC4">
            <w:pPr>
              <w:jc w:val="right"/>
            </w:pPr>
            <w:r>
              <w:t>1.516.750,00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E51E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Prihodi iz nadležnog proračuna za fin. redovne djelatnosti proračunskih korisnika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BE0A66">
            <w:pPr>
              <w:jc w:val="right"/>
              <w:rPr>
                <w:b/>
              </w:rPr>
            </w:pPr>
            <w:r>
              <w:rPr>
                <w:b/>
              </w:rPr>
              <w:t>1.516.750,00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775E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835298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D6782D">
            <w:pPr>
              <w:rPr>
                <w:b/>
              </w:rPr>
            </w:pPr>
            <w:r>
              <w:rPr>
                <w:b/>
              </w:rPr>
              <w:t>UKUPNO PRIHODI</w:t>
            </w:r>
          </w:p>
          <w:p w:rsidR="00835298" w:rsidRDefault="0083529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Pr="00E00EB1" w:rsidRDefault="00BE0A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  <w:rPr>
                <w:b/>
              </w:rPr>
            </w:pPr>
          </w:p>
          <w:p w:rsidR="00835298" w:rsidRDefault="00835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rPr>
                <w:b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835298">
            <w:pPr>
              <w:jc w:val="center"/>
              <w:rPr>
                <w:b/>
              </w:rPr>
            </w:pP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</w:t>
            </w:r>
          </w:p>
          <w:p w:rsidR="00835298" w:rsidRDefault="00835298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5298" w:rsidRDefault="00835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RAČUNA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298" w:rsidRDefault="00835298">
            <w:pPr>
              <w:rPr>
                <w:b/>
                <w:sz w:val="20"/>
                <w:szCs w:val="20"/>
              </w:rPr>
            </w:pP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Plaće za redovan rad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jc w:val="right"/>
            </w:pPr>
            <w:r>
              <w:t>6.800.000,00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775E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Plaće (Bruto)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jc w:val="right"/>
              <w:rPr>
                <w:b/>
              </w:rPr>
            </w:pPr>
            <w:r>
              <w:rPr>
                <w:b/>
              </w:rPr>
              <w:t>6.800.000,00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Ostali rashodi za zaposlene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snapToGrid w:val="0"/>
              <w:jc w:val="right"/>
            </w:pPr>
            <w:r>
              <w:t>100.000,00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775E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 xml:space="preserve">Ostali rashodi za zaposlene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 xml:space="preserve">Doprinosi za obvezno zdravstveno osiguranje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snapToGrid w:val="0"/>
              <w:jc w:val="right"/>
            </w:pPr>
            <w:r>
              <w:t>900.000,00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775E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Doprinosi na plaće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Službena putovanja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09" w:rsidRDefault="00D45D23" w:rsidP="003E4B09">
            <w:pPr>
              <w:snapToGrid w:val="0"/>
              <w:jc w:val="right"/>
            </w:pPr>
            <w:r>
              <w:t>54</w:t>
            </w:r>
            <w:r w:rsidR="003E4B09">
              <w:t>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Naknade za prijevoz na posao i s posla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021B77">
            <w:pPr>
              <w:snapToGrid w:val="0"/>
              <w:jc w:val="right"/>
            </w:pPr>
            <w:r>
              <w:t>200.000,00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Stručno usavršavanje zaposlenika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3E4B09">
            <w:pPr>
              <w:snapToGrid w:val="0"/>
              <w:jc w:val="right"/>
            </w:pPr>
            <w:r>
              <w:t>8.000,00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Ostale naknade troškova zaposlenima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Pr="00DD0822" w:rsidRDefault="003E4B09">
            <w:pPr>
              <w:snapToGrid w:val="0"/>
              <w:jc w:val="right"/>
            </w:pPr>
            <w:r>
              <w:t>3.000,00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3E0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 xml:space="preserve">Naknade troškova zaposlenima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C645A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265</w:t>
            </w:r>
            <w:r w:rsidR="003E4B09">
              <w:rPr>
                <w:b/>
              </w:rPr>
              <w:t>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 xml:space="preserve">Uredski materijal i ostali materijalni rashodi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11656A">
            <w:pPr>
              <w:snapToGrid w:val="0"/>
              <w:jc w:val="right"/>
            </w:pPr>
            <w:r>
              <w:t>83.000,00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Materijal i sirovine – namirnice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11656A">
            <w:pPr>
              <w:snapToGrid w:val="0"/>
              <w:jc w:val="right"/>
            </w:pPr>
            <w:r>
              <w:t>45.000,00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298" w:rsidRDefault="00835298">
            <w:pPr>
              <w:jc w:val="center"/>
            </w:pPr>
            <w:r>
              <w:t>3223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98" w:rsidRDefault="00835298">
            <w:r>
              <w:t>Energija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98" w:rsidRDefault="0011656A">
            <w:pPr>
              <w:snapToGrid w:val="0"/>
              <w:jc w:val="right"/>
            </w:pPr>
            <w:r>
              <w:t>340.000,00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Materijal i dijelovi za tek. i investicijsko održavanje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11656A">
            <w:pPr>
              <w:snapToGrid w:val="0"/>
              <w:jc w:val="right"/>
            </w:pPr>
            <w:r>
              <w:t>83.000,00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Sitni inventar i auto gume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11656A">
            <w:pPr>
              <w:snapToGrid w:val="0"/>
              <w:jc w:val="right"/>
            </w:pPr>
            <w:r>
              <w:t>30.000,00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Službena, radna i zaštitna odjeća i obuća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11656A">
            <w:pPr>
              <w:snapToGrid w:val="0"/>
              <w:jc w:val="right"/>
            </w:pPr>
            <w:r>
              <w:t>2.000.00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DE19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Rashodi za materijal i energiju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583.000,00</w:t>
            </w:r>
            <w:r w:rsidR="00E051EA">
              <w:rPr>
                <w:b/>
              </w:rPr>
              <w:t xml:space="preserve">  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Usluge telefona, pošte i prijevoza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192.500,00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Usluge tekućeg i investicijskog održavanja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120.000,00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Komunalne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127.500,00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Zdravstvene i veterinarske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 w:rsidP="007E2614">
            <w:pPr>
              <w:snapToGrid w:val="0"/>
              <w:jc w:val="right"/>
            </w:pPr>
            <w:r>
              <w:t>12.950,00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Intelektualne i osobne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19.000,00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Računalne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44.000,00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3239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Ostale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</w:pPr>
            <w:r>
              <w:t>15.000,00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AE16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D22B6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530.950,00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Naknade troškova osobama izvan radnog odnosa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A56A88">
            <w:pPr>
              <w:snapToGrid w:val="0"/>
              <w:jc w:val="right"/>
            </w:pPr>
            <w:r>
              <w:t>15.000,00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AE16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 xml:space="preserve">Naknade troškova osobama izvan radnog odnosa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A56A8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15.000</w:t>
            </w:r>
            <w:r w:rsidR="00C47853">
              <w:rPr>
                <w:b/>
              </w:rPr>
              <w:t>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Reprezentacija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71A5D">
            <w:pPr>
              <w:snapToGrid w:val="0"/>
              <w:jc w:val="right"/>
            </w:pPr>
            <w:r>
              <w:t>7.000,00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Članarine i norme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71A5D">
            <w:pPr>
              <w:snapToGrid w:val="0"/>
              <w:jc w:val="right"/>
            </w:pPr>
            <w:r>
              <w:t>2.000,00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Pristojbe i naknade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71A5D">
            <w:pPr>
              <w:snapToGrid w:val="0"/>
              <w:jc w:val="right"/>
            </w:pPr>
            <w:r>
              <w:t>500,00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3299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>Ostali nespomenuti rashodi poslovanja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71A5D">
            <w:pPr>
              <w:snapToGrid w:val="0"/>
              <w:jc w:val="right"/>
            </w:pPr>
            <w:r>
              <w:t>500,00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AE16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35298"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71A5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</w:pPr>
            <w:r>
              <w:t>3431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r>
              <w:t xml:space="preserve">Bankarske usluge i usluge platnog prometa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87391">
            <w:pPr>
              <w:snapToGrid w:val="0"/>
              <w:jc w:val="right"/>
            </w:pPr>
            <w:r>
              <w:t>2.500,00</w:t>
            </w:r>
          </w:p>
        </w:tc>
      </w:tr>
      <w:tr w:rsidR="00F21996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96" w:rsidRDefault="00F21996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96" w:rsidRDefault="00F21996">
            <w:pPr>
              <w:jc w:val="center"/>
            </w:pPr>
            <w:r>
              <w:t>3434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96" w:rsidRDefault="00F21996">
            <w:r>
              <w:t>Ostali nespomenuti financijski rashodi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96" w:rsidRDefault="00587391">
            <w:pPr>
              <w:snapToGrid w:val="0"/>
              <w:jc w:val="right"/>
            </w:pPr>
            <w:r>
              <w:t>500,00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58739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835298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25650D">
            <w:pPr>
              <w:jc w:val="center"/>
            </w:pPr>
            <w:r>
              <w:t>3232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25650D">
            <w:r>
              <w:t>Usluge tekućeg i investicijskog ulaganja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25650D">
            <w:pPr>
              <w:snapToGrid w:val="0"/>
              <w:jc w:val="right"/>
            </w:pPr>
            <w:r>
              <w:t>219.000,00</w:t>
            </w:r>
          </w:p>
        </w:tc>
      </w:tr>
      <w:tr w:rsidR="00835298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25650D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25650D">
            <w:pPr>
              <w:rPr>
                <w:b/>
              </w:rPr>
            </w:pPr>
            <w:r>
              <w:rPr>
                <w:b/>
              </w:rPr>
              <w:t>Operativni plan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25650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219.000,00</w:t>
            </w:r>
          </w:p>
        </w:tc>
      </w:tr>
      <w:tr w:rsidR="00835298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9261CC">
            <w:pPr>
              <w:jc w:val="center"/>
            </w:pPr>
            <w:r>
              <w:t>3721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9261CC">
            <w:r>
              <w:t>Ostale naknade iz proračuna u novcu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9261CC">
            <w:pPr>
              <w:snapToGrid w:val="0"/>
              <w:jc w:val="right"/>
            </w:pPr>
            <w:r>
              <w:t>5.000,00</w:t>
            </w:r>
          </w:p>
        </w:tc>
      </w:tr>
      <w:tr w:rsidR="00835298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298" w:rsidRDefault="0083529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9261CC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9261CC">
            <w:pPr>
              <w:rPr>
                <w:b/>
              </w:rPr>
            </w:pPr>
            <w:r>
              <w:rPr>
                <w:b/>
              </w:rPr>
              <w:t>Prijevoz učenika s teškoćama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Default="009261C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</w:tr>
      <w:tr w:rsidR="00D45D23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Default="00D45D23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Pr="009261CC" w:rsidRDefault="009261CC">
            <w:pPr>
              <w:jc w:val="center"/>
            </w:pPr>
            <w:r w:rsidRPr="009261CC">
              <w:t>31111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Pr="009261CC" w:rsidRDefault="009261CC">
            <w:r w:rsidRPr="009261CC">
              <w:t>Plaće za redovan rad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23" w:rsidRPr="009261CC" w:rsidRDefault="009261CC">
            <w:pPr>
              <w:snapToGrid w:val="0"/>
              <w:jc w:val="right"/>
            </w:pPr>
            <w:r w:rsidRPr="009261CC">
              <w:t>260.000,00</w:t>
            </w:r>
          </w:p>
        </w:tc>
      </w:tr>
      <w:tr w:rsidR="00D45D23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Default="009261C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Default="009261C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Default="009261CC">
            <w:pPr>
              <w:rPr>
                <w:b/>
              </w:rPr>
            </w:pPr>
            <w:r>
              <w:rPr>
                <w:b/>
              </w:rPr>
              <w:t>Zajedno do znanja uz više elana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23" w:rsidRDefault="009261C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260.000,00</w:t>
            </w:r>
          </w:p>
        </w:tc>
      </w:tr>
      <w:tr w:rsidR="00D45D23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Default="00D45D23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Pr="009261CC" w:rsidRDefault="009261CC">
            <w:pPr>
              <w:jc w:val="center"/>
            </w:pPr>
            <w:r w:rsidRPr="009261CC">
              <w:t>3222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D23" w:rsidRPr="009261CC" w:rsidRDefault="009261CC">
            <w:r w:rsidRPr="009261CC">
              <w:t>Namirnice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23" w:rsidRPr="009261CC" w:rsidRDefault="009261CC">
            <w:pPr>
              <w:snapToGrid w:val="0"/>
              <w:jc w:val="right"/>
            </w:pPr>
            <w:r w:rsidRPr="009261CC">
              <w:t>9.050,00</w:t>
            </w:r>
          </w:p>
        </w:tc>
      </w:tr>
      <w:tr w:rsidR="009261CC" w:rsidTr="002565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CC" w:rsidRDefault="009261C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CC" w:rsidRDefault="009261CC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1CC" w:rsidRDefault="009261CC">
            <w:pPr>
              <w:rPr>
                <w:b/>
              </w:rPr>
            </w:pPr>
            <w:r>
              <w:rPr>
                <w:b/>
              </w:rPr>
              <w:t>Obrok taj svima daj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CC" w:rsidRDefault="009261C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9.050,00</w:t>
            </w:r>
          </w:p>
        </w:tc>
      </w:tr>
      <w:tr w:rsidR="00835298" w:rsidTr="000D4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rPr>
                <w:b/>
              </w:rPr>
            </w:pPr>
          </w:p>
          <w:p w:rsidR="00835298" w:rsidRDefault="008352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298" w:rsidRDefault="00835298">
            <w:pPr>
              <w:rPr>
                <w:b/>
              </w:rPr>
            </w:pPr>
          </w:p>
          <w:p w:rsidR="00835298" w:rsidRDefault="00835298">
            <w:pPr>
              <w:rPr>
                <w:b/>
              </w:rPr>
            </w:pPr>
            <w:r>
              <w:rPr>
                <w:b/>
              </w:rPr>
              <w:t>UKUPNO</w:t>
            </w:r>
            <w:r w:rsidR="00D6782D">
              <w:rPr>
                <w:b/>
              </w:rPr>
              <w:t xml:space="preserve"> RASHODI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98" w:rsidRPr="00E00EB1" w:rsidRDefault="009261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9.700.000,00</w:t>
            </w:r>
          </w:p>
        </w:tc>
      </w:tr>
    </w:tbl>
    <w:p w:rsidR="000B1083" w:rsidRPr="000B1083" w:rsidRDefault="000B1083" w:rsidP="000F1019">
      <w:pPr>
        <w:jc w:val="both"/>
      </w:pPr>
      <w:r w:rsidRPr="000B1083">
        <w:lastRenderedPageBreak/>
        <w:t>Financijski plan 2020.-2022. OŠ Vodice donesen je u skladu s uputama za izradu prijedloga proračuna</w:t>
      </w:r>
      <w:r>
        <w:t xml:space="preserve"> i</w:t>
      </w:r>
      <w:r w:rsidRPr="000B1083">
        <w:t xml:space="preserve"> financijskog plana</w:t>
      </w:r>
      <w:r>
        <w:t xml:space="preserve"> upravnih odjela, proračunskih i</w:t>
      </w:r>
      <w:r w:rsidRPr="000B1083">
        <w:t xml:space="preserve"> izvanproračunskih korisnika Šibensko-kninske županije, na osnovu Uputa za izrad</w:t>
      </w:r>
      <w:r>
        <w:t>u prijedloga proračuna i financijskog plana Šibensko-kninske županije</w:t>
      </w:r>
      <w:r w:rsidRPr="000B1083">
        <w:t xml:space="preserve"> za razdoblje 2020.-2022.</w:t>
      </w:r>
    </w:p>
    <w:p w:rsidR="000B1083" w:rsidRPr="000B1083" w:rsidRDefault="000B1083" w:rsidP="000B1083">
      <w:pPr>
        <w:jc w:val="both"/>
      </w:pPr>
      <w:r w:rsidRPr="000B1083">
        <w:tab/>
      </w:r>
      <w:r w:rsidRPr="000B1083">
        <w:tab/>
      </w:r>
    </w:p>
    <w:p w:rsidR="000B1083" w:rsidRPr="000B1083" w:rsidRDefault="000B1083" w:rsidP="000B1083">
      <w:pPr>
        <w:jc w:val="both"/>
      </w:pPr>
      <w:r w:rsidRPr="000B1083">
        <w:t>Pri izradi financijskog plana osobito se vodilo računa o Zakonu o fiskalnoj odgovornosti kojim se određuju pravila kojima te ograničava potrošnja i jača odgovornost za zakonito, namjensko i svrhovito korištenje proračunskih sredstava te jača sustav kontrola i nadzora.</w:t>
      </w:r>
    </w:p>
    <w:p w:rsidR="000B1083" w:rsidRPr="000B1083" w:rsidRDefault="000B1083" w:rsidP="000B1083">
      <w:pPr>
        <w:jc w:val="both"/>
      </w:pPr>
    </w:p>
    <w:p w:rsidR="000B1083" w:rsidRPr="000B1083" w:rsidRDefault="000B1083" w:rsidP="000B1083">
      <w:pPr>
        <w:jc w:val="both"/>
      </w:pPr>
      <w:r w:rsidRPr="000B1083">
        <w:t xml:space="preserve">Rashodi i izdaci zasnivaju se na analizi stanja rashoda i izdataka u tekućoj 2019. godini te planu obveznih rashoda i izdataka u skladu s realnom procjenom prihoda i primitaka. </w:t>
      </w:r>
    </w:p>
    <w:p w:rsidR="000B1083" w:rsidRPr="000B1083" w:rsidRDefault="000B1083" w:rsidP="000B1083">
      <w:pPr>
        <w:jc w:val="both"/>
      </w:pPr>
    </w:p>
    <w:p w:rsidR="000B1083" w:rsidRPr="000B1083" w:rsidRDefault="000B1083" w:rsidP="000B1083">
      <w:pPr>
        <w:jc w:val="both"/>
      </w:pPr>
      <w:r w:rsidRPr="000B1083">
        <w:t>Prihodi i primici, a time i rashodi i izdaci za 2020. godinu planirani su u istom iznosu kao i 2019. godine u skladu s uputama za izradu proračuna Šibensko-kninske županije.</w:t>
      </w:r>
    </w:p>
    <w:p w:rsidR="000B1083" w:rsidRPr="000B1083" w:rsidRDefault="000B1083" w:rsidP="000B1083">
      <w:pPr>
        <w:jc w:val="both"/>
      </w:pPr>
    </w:p>
    <w:p w:rsidR="000B1083" w:rsidRPr="000B1083" w:rsidRDefault="000B1083" w:rsidP="000B1083"/>
    <w:p w:rsidR="000B1083" w:rsidRDefault="000B1083" w:rsidP="001C71E4">
      <w:pPr>
        <w:rPr>
          <w:b/>
        </w:rPr>
      </w:pPr>
    </w:p>
    <w:p w:rsidR="000B1083" w:rsidRDefault="000B1083" w:rsidP="001C71E4">
      <w:pPr>
        <w:rPr>
          <w:b/>
        </w:rPr>
      </w:pPr>
    </w:p>
    <w:p w:rsidR="001C71E4" w:rsidRDefault="001C71E4" w:rsidP="001C71E4">
      <w:pPr>
        <w:rPr>
          <w:b/>
        </w:rPr>
      </w:pPr>
      <w:r>
        <w:rPr>
          <w:b/>
        </w:rPr>
        <w:t>Objašnjenje pojedinih st</w:t>
      </w:r>
      <w:r w:rsidR="005A1164">
        <w:rPr>
          <w:b/>
        </w:rPr>
        <w:t>avaka:</w:t>
      </w:r>
    </w:p>
    <w:p w:rsidR="000F1019" w:rsidRDefault="000F1019" w:rsidP="001C71E4">
      <w:pPr>
        <w:rPr>
          <w:b/>
        </w:rPr>
      </w:pPr>
    </w:p>
    <w:p w:rsidR="001C71E4" w:rsidRDefault="001C71E4" w:rsidP="001C71E4">
      <w:pPr>
        <w:rPr>
          <w:b/>
        </w:rPr>
      </w:pPr>
    </w:p>
    <w:p w:rsidR="001C71E4" w:rsidRDefault="001C71E4" w:rsidP="001C71E4">
      <w:r>
        <w:rPr>
          <w:b/>
          <w:bCs/>
        </w:rPr>
        <w:t xml:space="preserve">Račun – 6341 Tekuće pomoći od izvanproračunskih korisnika – Hrvatski zavod za zapošljavanje </w:t>
      </w:r>
      <w:r>
        <w:t xml:space="preserve">        </w:t>
      </w:r>
    </w:p>
    <w:p w:rsidR="001C71E4" w:rsidRDefault="001C71E4" w:rsidP="001C71E4"/>
    <w:p w:rsidR="001C71E4" w:rsidRDefault="005A1164" w:rsidP="001C71E4">
      <w:pPr>
        <w:jc w:val="both"/>
      </w:pPr>
      <w:r>
        <w:t>T</w:t>
      </w:r>
      <w:r w:rsidR="001C71E4">
        <w:t>emeljem Nacionalnog plana za poticanje</w:t>
      </w:r>
      <w:r w:rsidR="00025773">
        <w:t xml:space="preserve"> zapošljavanja, primili  smo </w:t>
      </w:r>
      <w:r w:rsidR="00C852C2">
        <w:t>jednu</w:t>
      </w:r>
      <w:r w:rsidR="00025773">
        <w:t xml:space="preserve"> </w:t>
      </w:r>
      <w:r w:rsidR="00C852C2">
        <w:t>pripravnicu</w:t>
      </w:r>
      <w:r w:rsidR="001C71E4">
        <w:t xml:space="preserve"> na stručno osposobljavanje za rad bez zasnivanja radnog odnosa, sukladno pravilima Hrvatskog zavoda za zapošljavanje. </w:t>
      </w:r>
    </w:p>
    <w:p w:rsidR="003E7BB1" w:rsidRDefault="001C71E4" w:rsidP="001C71E4">
      <w:pPr>
        <w:jc w:val="both"/>
      </w:pPr>
      <w:r>
        <w:t>Na temelju Ugovora o stručnom osposobljavanju za rad bez zasnivanja radnog odnosa, od strane Hrvatskog zavoda za zapošljavan</w:t>
      </w:r>
      <w:r w:rsidR="00025773">
        <w:t>je dobivena su sredstva z</w:t>
      </w:r>
      <w:r w:rsidR="003E7BB1">
        <w:t>a</w:t>
      </w:r>
      <w:r w:rsidR="00C852C2">
        <w:t xml:space="preserve"> pripravnicu</w:t>
      </w:r>
      <w:r>
        <w:t xml:space="preserve"> za cijelo razdoblje trajanja stručnog osposobljavanja za pokriće rashoda obveznih doprinosa za pripravnike, pod stavkom računa 3241 u iznosu od </w:t>
      </w:r>
      <w:r w:rsidR="005A1164">
        <w:t>15.000,00</w:t>
      </w:r>
      <w:r w:rsidR="003E7BB1">
        <w:t xml:space="preserve"> kuna.</w:t>
      </w:r>
    </w:p>
    <w:p w:rsidR="000B1083" w:rsidRDefault="000B1083" w:rsidP="001C71E4">
      <w:pPr>
        <w:jc w:val="both"/>
      </w:pPr>
    </w:p>
    <w:p w:rsidR="005A1164" w:rsidRDefault="005A1164" w:rsidP="001C71E4">
      <w:pPr>
        <w:jc w:val="both"/>
      </w:pPr>
    </w:p>
    <w:p w:rsidR="000F1019" w:rsidRPr="003E7BB1" w:rsidRDefault="000F1019" w:rsidP="001C71E4">
      <w:pPr>
        <w:jc w:val="both"/>
      </w:pPr>
    </w:p>
    <w:p w:rsidR="00D55E51" w:rsidRDefault="001C71E4" w:rsidP="003E7BB1">
      <w:pPr>
        <w:rPr>
          <w:b/>
        </w:rPr>
      </w:pPr>
      <w:r>
        <w:rPr>
          <w:b/>
        </w:rPr>
        <w:t>Račun – 6361 Tekuće pomoći proračunskim korisnicima iz proračuna koji im nije nadležan</w:t>
      </w:r>
    </w:p>
    <w:p w:rsidR="001C71E4" w:rsidRDefault="001C71E4" w:rsidP="001C71E4">
      <w:pPr>
        <w:ind w:left="-540"/>
      </w:pPr>
    </w:p>
    <w:tbl>
      <w:tblPr>
        <w:tblW w:w="9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4244"/>
      </w:tblGrid>
      <w:tr w:rsidR="005A1BF1" w:rsidTr="0044034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F1" w:rsidRDefault="005A1BF1" w:rsidP="00D6782D">
            <w:pPr>
              <w:jc w:val="both"/>
            </w:pPr>
            <w:r>
              <w:t>6361</w:t>
            </w:r>
            <w:r w:rsidR="008557B3">
              <w:t>2</w:t>
            </w:r>
            <w:r w:rsidR="00440341">
              <w:t xml:space="preserve"> – MZO plaće, regres, jubilarne, pomoći, otpremnine, darovi, božićnica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F1" w:rsidRDefault="005A1164" w:rsidP="00D6782D">
            <w:pPr>
              <w:jc w:val="right"/>
            </w:pPr>
            <w:r>
              <w:t>8.000.000,00</w:t>
            </w:r>
            <w:r w:rsidR="0041788D">
              <w:t xml:space="preserve"> kn</w:t>
            </w:r>
          </w:p>
        </w:tc>
      </w:tr>
      <w:tr w:rsidR="005A1BF1" w:rsidTr="0044034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F1" w:rsidRDefault="00440341" w:rsidP="00D6782D">
            <w:pPr>
              <w:jc w:val="both"/>
            </w:pPr>
            <w:r>
              <w:t>6361</w:t>
            </w:r>
            <w:r w:rsidR="008557B3">
              <w:t>2</w:t>
            </w:r>
            <w:r>
              <w:t xml:space="preserve"> – Tekuće pomoći – prijevoz za djecu sa teškoćama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F1" w:rsidRDefault="0041788D" w:rsidP="00D6782D">
            <w:pPr>
              <w:jc w:val="right"/>
            </w:pPr>
            <w:r>
              <w:t>5.000,00 kn</w:t>
            </w:r>
          </w:p>
        </w:tc>
      </w:tr>
      <w:tr w:rsidR="005A1BF1" w:rsidTr="0044034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F1" w:rsidRDefault="00440341" w:rsidP="00D6782D">
            <w:pPr>
              <w:jc w:val="both"/>
            </w:pPr>
            <w:r>
              <w:t>6361</w:t>
            </w:r>
            <w:r w:rsidR="008557B3">
              <w:t>2</w:t>
            </w:r>
            <w:r>
              <w:t xml:space="preserve"> – Tekuće pomoći – županijska vijeća ŽSV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F1" w:rsidRDefault="0041788D" w:rsidP="00D6782D">
            <w:pPr>
              <w:jc w:val="right"/>
            </w:pPr>
            <w:r>
              <w:t>5.000,00</w:t>
            </w:r>
            <w:r w:rsidR="00440341">
              <w:t xml:space="preserve"> kn</w:t>
            </w:r>
          </w:p>
        </w:tc>
      </w:tr>
      <w:tr w:rsidR="005A1BF1" w:rsidTr="0044034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BF1" w:rsidRDefault="005A1BF1" w:rsidP="00D6782D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F1" w:rsidRPr="0041788D" w:rsidRDefault="0041788D" w:rsidP="0041788D">
            <w:pPr>
              <w:jc w:val="right"/>
              <w:rPr>
                <w:b/>
              </w:rPr>
            </w:pPr>
            <w:r>
              <w:rPr>
                <w:b/>
              </w:rPr>
              <w:t>8.010.000,00 kn</w:t>
            </w:r>
            <w:r w:rsidR="005A1BF1">
              <w:rPr>
                <w:b/>
              </w:rPr>
              <w:t xml:space="preserve"> </w:t>
            </w:r>
          </w:p>
        </w:tc>
      </w:tr>
    </w:tbl>
    <w:p w:rsidR="00D55E51" w:rsidRDefault="00D55E51" w:rsidP="00DD4C5D">
      <w:pPr>
        <w:rPr>
          <w:b/>
        </w:rPr>
      </w:pPr>
    </w:p>
    <w:p w:rsidR="000F1019" w:rsidRDefault="000F1019" w:rsidP="000F1019">
      <w:pPr>
        <w:jc w:val="both"/>
      </w:pPr>
    </w:p>
    <w:p w:rsidR="000F1019" w:rsidRPr="000F1019" w:rsidRDefault="000F1019" w:rsidP="000F1019">
      <w:pPr>
        <w:jc w:val="both"/>
      </w:pPr>
      <w:r w:rsidRPr="000F1019">
        <w:t xml:space="preserve">Pomoći iz državnog proračuna odnose se na sufinanciranje troškova prijevoza učenika s teškoćama u razvoju, troškova rada mentora, troškova rada i materijala voditelja ŽSV, troškovi dnevnica i službenih putovanja za državna natjecanja od Agencije za odgoj i obrazovanje i Školskog sportskog saveza. </w:t>
      </w:r>
    </w:p>
    <w:p w:rsidR="000F1019" w:rsidRPr="000F1019" w:rsidRDefault="000F1019" w:rsidP="000F1019">
      <w:pPr>
        <w:jc w:val="both"/>
      </w:pPr>
    </w:p>
    <w:p w:rsidR="000F1019" w:rsidRPr="000F1019" w:rsidRDefault="000F1019" w:rsidP="000F1019">
      <w:r w:rsidRPr="000F1019">
        <w:tab/>
      </w:r>
    </w:p>
    <w:p w:rsidR="00412E7D" w:rsidRDefault="00412E7D" w:rsidP="00412E7D">
      <w:pPr>
        <w:rPr>
          <w:b/>
        </w:rPr>
      </w:pPr>
      <w:r>
        <w:rPr>
          <w:b/>
        </w:rPr>
        <w:lastRenderedPageBreak/>
        <w:t>Račun – 63931 Tekući prijenosi između proračunskih korisnika istog proračuna temeljem prijenosa EU</w:t>
      </w:r>
    </w:p>
    <w:p w:rsidR="000F1019" w:rsidRDefault="000F1019" w:rsidP="00412E7D">
      <w:pPr>
        <w:rPr>
          <w:b/>
        </w:rPr>
      </w:pPr>
    </w:p>
    <w:p w:rsidR="00DD4C5D" w:rsidRDefault="00DD4C5D" w:rsidP="00DD4C5D">
      <w:pPr>
        <w:rPr>
          <w:b/>
        </w:rPr>
      </w:pPr>
    </w:p>
    <w:tbl>
      <w:tblPr>
        <w:tblW w:w="9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4244"/>
      </w:tblGrid>
      <w:tr w:rsidR="00272919" w:rsidTr="0027291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919" w:rsidRPr="00272919" w:rsidRDefault="00412E7D" w:rsidP="00412E7D">
            <w:pPr>
              <w:jc w:val="both"/>
            </w:pPr>
            <w:r>
              <w:t>63931</w:t>
            </w:r>
            <w:r w:rsidR="00272919" w:rsidRPr="00272919">
              <w:t xml:space="preserve"> Tekući prijenosi između proračunskih korisnika </w:t>
            </w:r>
            <w:r>
              <w:t>temeljem prijenosa EU</w:t>
            </w:r>
            <w:r w:rsidR="00B572EC">
              <w:t xml:space="preserve"> – </w:t>
            </w:r>
            <w:r>
              <w:t>Asistenti u nastavi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19" w:rsidRDefault="00412E7D" w:rsidP="00272919">
            <w:pPr>
              <w:jc w:val="right"/>
            </w:pPr>
            <w:r>
              <w:t>158.250,00 kn</w:t>
            </w:r>
          </w:p>
        </w:tc>
      </w:tr>
      <w:tr w:rsidR="00272919" w:rsidTr="0027291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919" w:rsidRDefault="00272919" w:rsidP="00272919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19" w:rsidRDefault="00412E7D" w:rsidP="002729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</w:rPr>
              <w:t>158.250,00 kn</w:t>
            </w:r>
            <w:r w:rsidR="00272919">
              <w:rPr>
                <w:b/>
              </w:rPr>
              <w:t xml:space="preserve"> </w:t>
            </w:r>
          </w:p>
        </w:tc>
      </w:tr>
    </w:tbl>
    <w:p w:rsidR="00BF5CA1" w:rsidRDefault="00BF5CA1" w:rsidP="001C71E4">
      <w:pPr>
        <w:jc w:val="both"/>
        <w:rPr>
          <w:b/>
        </w:rPr>
      </w:pPr>
    </w:p>
    <w:p w:rsidR="000F1019" w:rsidRDefault="000F1019" w:rsidP="001C71E4">
      <w:pPr>
        <w:jc w:val="both"/>
        <w:rPr>
          <w:b/>
        </w:rPr>
      </w:pPr>
    </w:p>
    <w:p w:rsidR="001C71E4" w:rsidRPr="00412E7D" w:rsidRDefault="001C71E4" w:rsidP="001C71E4">
      <w:pPr>
        <w:jc w:val="both"/>
        <w:rPr>
          <w:b/>
        </w:rPr>
      </w:pPr>
      <w:r>
        <w:rPr>
          <w:b/>
        </w:rPr>
        <w:t xml:space="preserve">Račun – 671 Prihodi iz nadležnog proračuna za financiranje redovne djelatnosti proračunskih korisnika </w:t>
      </w:r>
    </w:p>
    <w:p w:rsidR="001C71E4" w:rsidRDefault="001C71E4" w:rsidP="001C71E4">
      <w:pPr>
        <w:jc w:val="both"/>
      </w:pPr>
    </w:p>
    <w:tbl>
      <w:tblPr>
        <w:tblW w:w="9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6"/>
        <w:gridCol w:w="4388"/>
      </w:tblGrid>
      <w:tr w:rsidR="001C71E4" w:rsidTr="00BF5CA1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1E4" w:rsidRDefault="00096D36">
            <w:pPr>
              <w:jc w:val="both"/>
            </w:pPr>
            <w:r>
              <w:t>6711</w:t>
            </w:r>
            <w:r w:rsidR="0058421B">
              <w:t xml:space="preserve"> – Prihod od Županije – </w:t>
            </w:r>
            <w:proofErr w:type="spellStart"/>
            <w:r w:rsidR="0058421B">
              <w:t>dec</w:t>
            </w:r>
            <w:proofErr w:type="spellEnd"/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1E4" w:rsidRDefault="00096D36">
            <w:pPr>
              <w:jc w:val="right"/>
            </w:pPr>
            <w:r>
              <w:t>1.405.950,00</w:t>
            </w:r>
            <w:r w:rsidR="001C71E4">
              <w:t xml:space="preserve"> kuna</w:t>
            </w:r>
          </w:p>
        </w:tc>
      </w:tr>
      <w:tr w:rsidR="001C71E4" w:rsidTr="00BF5CA1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1E4" w:rsidRDefault="00096D36">
            <w:pPr>
              <w:jc w:val="both"/>
            </w:pPr>
            <w:r>
              <w:t xml:space="preserve">6711 – </w:t>
            </w:r>
            <w:proofErr w:type="spellStart"/>
            <w:r>
              <w:t>Predfinanciranje</w:t>
            </w:r>
            <w:proofErr w:type="spellEnd"/>
            <w:r>
              <w:t xml:space="preserve"> ŠKŽ – Asistenti u nastavi, Obrok taj svima daj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1E4" w:rsidRDefault="00096D36">
            <w:pPr>
              <w:jc w:val="right"/>
            </w:pPr>
            <w:r>
              <w:t>110.800,00</w:t>
            </w:r>
            <w:r w:rsidR="001C71E4">
              <w:t xml:space="preserve"> kuna</w:t>
            </w:r>
          </w:p>
        </w:tc>
      </w:tr>
      <w:tr w:rsidR="001C71E4" w:rsidTr="00BF5CA1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1E4" w:rsidRDefault="001C71E4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1E4" w:rsidRDefault="00096D3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</w:rPr>
              <w:t>1.516.750,00</w:t>
            </w:r>
            <w:r w:rsidR="001C71E4">
              <w:rPr>
                <w:b/>
              </w:rPr>
              <w:t xml:space="preserve"> kuna </w:t>
            </w:r>
          </w:p>
        </w:tc>
      </w:tr>
    </w:tbl>
    <w:p w:rsidR="00DD27AF" w:rsidRDefault="00DD27AF" w:rsidP="001C71E4">
      <w:pPr>
        <w:jc w:val="both"/>
        <w:rPr>
          <w:rFonts w:eastAsia="Calibri"/>
        </w:rPr>
      </w:pPr>
    </w:p>
    <w:p w:rsidR="00DD27AF" w:rsidRDefault="00DD27AF" w:rsidP="001C71E4">
      <w:pPr>
        <w:jc w:val="both"/>
        <w:rPr>
          <w:rFonts w:eastAsia="Calibri"/>
        </w:rPr>
      </w:pPr>
    </w:p>
    <w:p w:rsidR="00232D73" w:rsidRPr="00232D73" w:rsidRDefault="00232D73" w:rsidP="00232D73">
      <w:pPr>
        <w:jc w:val="both"/>
      </w:pPr>
      <w:r w:rsidRPr="00232D73">
        <w:t xml:space="preserve">Opći prihodi i primici iz županijskog proračuna koriste se za financiranje minimalnih financijskih standarda za redovne djelatnosti OŠ Vodice i u skladu s odobrenim limitom za OŠ Vodice. </w:t>
      </w:r>
    </w:p>
    <w:p w:rsidR="00232D73" w:rsidRPr="00232D73" w:rsidRDefault="00232D73" w:rsidP="00232D73">
      <w:pPr>
        <w:jc w:val="both"/>
      </w:pPr>
    </w:p>
    <w:p w:rsidR="00232D73" w:rsidRDefault="00232D73" w:rsidP="00232D73">
      <w:pPr>
        <w:jc w:val="both"/>
      </w:pPr>
      <w:r w:rsidRPr="00232D73">
        <w:t>Materijalni rashodi su ponajprije planirani na osnovu troškova tekuće godine, a to su troškovi za materijal i energiju (električna energija, osnovni materijal i sirovine, uredski materijal, materijal za tekuće održavanje građevinskih objekata i opreme), zatim su planirani rashodi za usluge (usluge telefona, troškovi vode, odvoza smeća, komunalne usluge, pregledi zaposlenika, usluge za tekuće održavanje građevinskih objekata i opreme). Nakon toga planirani su ostali troškovi prema prioritetima i planovima rada škole (naknade troškova zaposlenima, stručna literatura, pedagoška dokumentacija i slično).</w:t>
      </w:r>
    </w:p>
    <w:p w:rsidR="000F1019" w:rsidRDefault="000F1019" w:rsidP="00232D73">
      <w:pPr>
        <w:jc w:val="both"/>
      </w:pPr>
    </w:p>
    <w:p w:rsidR="00232D73" w:rsidRPr="00232D73" w:rsidRDefault="00232D73" w:rsidP="00232D73">
      <w:pPr>
        <w:jc w:val="both"/>
      </w:pPr>
    </w:p>
    <w:p w:rsidR="001C71E4" w:rsidRDefault="001C71E4" w:rsidP="00232D73">
      <w:pPr>
        <w:jc w:val="both"/>
        <w:rPr>
          <w:rFonts w:eastAsia="Calibri"/>
        </w:rPr>
      </w:pPr>
    </w:p>
    <w:p w:rsidR="00412E7D" w:rsidRDefault="00412E7D" w:rsidP="001C71E4">
      <w:pPr>
        <w:jc w:val="both"/>
        <w:rPr>
          <w:rFonts w:ascii="Calibri" w:eastAsia="Calibri" w:hAnsi="Calibri"/>
          <w:sz w:val="22"/>
          <w:szCs w:val="22"/>
        </w:rPr>
      </w:pPr>
    </w:p>
    <w:p w:rsidR="00A1357C" w:rsidRDefault="00A1357C" w:rsidP="00A1357C">
      <w:pPr>
        <w:rPr>
          <w:b/>
          <w:u w:val="single"/>
        </w:rPr>
      </w:pPr>
    </w:p>
    <w:p w:rsidR="00805458" w:rsidRDefault="002021F0" w:rsidP="00805458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458">
        <w:t>Ravnatelj:</w:t>
      </w:r>
    </w:p>
    <w:p w:rsidR="00805458" w:rsidRDefault="00805458" w:rsidP="00805458"/>
    <w:p w:rsidR="00805458" w:rsidRDefault="002021F0" w:rsidP="00805458">
      <w:r>
        <w:t xml:space="preserve">_____________________      </w:t>
      </w:r>
      <w:r w:rsidR="00805458">
        <w:tab/>
      </w:r>
      <w:r w:rsidR="00805458">
        <w:tab/>
      </w:r>
      <w:r w:rsidR="00805458">
        <w:tab/>
      </w:r>
      <w:r w:rsidR="00805458">
        <w:tab/>
      </w:r>
      <w:r w:rsidR="00805458">
        <w:tab/>
        <w:t>______________________</w:t>
      </w:r>
    </w:p>
    <w:p w:rsidR="00A1357C" w:rsidRDefault="00805458" w:rsidP="00412E7D">
      <w:pPr>
        <w:rPr>
          <w:b/>
        </w:rPr>
      </w:pPr>
      <w:r>
        <w:t>Ana Bulat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Grgo Friganović</w:t>
      </w:r>
      <w:r w:rsidR="00A1357C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1E6CBA" w:rsidRDefault="001E6CBA" w:rsidP="00A1357C">
      <w:pPr>
        <w:jc w:val="both"/>
      </w:pPr>
    </w:p>
    <w:sectPr w:rsidR="001E6CBA" w:rsidSect="00412E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2" w15:restartNumberingAfterBreak="0">
    <w:nsid w:val="2D6D7169"/>
    <w:multiLevelType w:val="hybridMultilevel"/>
    <w:tmpl w:val="E4B46F90"/>
    <w:lvl w:ilvl="0" w:tplc="660E811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E4"/>
    <w:rsid w:val="00021B77"/>
    <w:rsid w:val="00025773"/>
    <w:rsid w:val="00025CC4"/>
    <w:rsid w:val="0005221D"/>
    <w:rsid w:val="0006120A"/>
    <w:rsid w:val="00096D36"/>
    <w:rsid w:val="000A7D4C"/>
    <w:rsid w:val="000B1083"/>
    <w:rsid w:val="000D422B"/>
    <w:rsid w:val="000F1019"/>
    <w:rsid w:val="000F66D9"/>
    <w:rsid w:val="001067F6"/>
    <w:rsid w:val="0011656A"/>
    <w:rsid w:val="00145565"/>
    <w:rsid w:val="001A3259"/>
    <w:rsid w:val="001B53EF"/>
    <w:rsid w:val="001C71E4"/>
    <w:rsid w:val="001E6CBA"/>
    <w:rsid w:val="002021F0"/>
    <w:rsid w:val="00216203"/>
    <w:rsid w:val="00216D8A"/>
    <w:rsid w:val="00232D73"/>
    <w:rsid w:val="0025650D"/>
    <w:rsid w:val="00272919"/>
    <w:rsid w:val="00297CF1"/>
    <w:rsid w:val="002A72E8"/>
    <w:rsid w:val="002B7896"/>
    <w:rsid w:val="002C0DEA"/>
    <w:rsid w:val="002C266A"/>
    <w:rsid w:val="002F3F9D"/>
    <w:rsid w:val="002F78F5"/>
    <w:rsid w:val="003358F3"/>
    <w:rsid w:val="003A4CDF"/>
    <w:rsid w:val="003D1638"/>
    <w:rsid w:val="003E0EEE"/>
    <w:rsid w:val="003E4B09"/>
    <w:rsid w:val="003E7BB1"/>
    <w:rsid w:val="00412E7D"/>
    <w:rsid w:val="0041638B"/>
    <w:rsid w:val="0041788D"/>
    <w:rsid w:val="00431C83"/>
    <w:rsid w:val="00440341"/>
    <w:rsid w:val="004433C9"/>
    <w:rsid w:val="0044352B"/>
    <w:rsid w:val="0044728E"/>
    <w:rsid w:val="0045685C"/>
    <w:rsid w:val="00462754"/>
    <w:rsid w:val="00472B37"/>
    <w:rsid w:val="004906CF"/>
    <w:rsid w:val="00496E58"/>
    <w:rsid w:val="004B5B07"/>
    <w:rsid w:val="004E747C"/>
    <w:rsid w:val="004F6483"/>
    <w:rsid w:val="00571A5D"/>
    <w:rsid w:val="00584004"/>
    <w:rsid w:val="0058421B"/>
    <w:rsid w:val="00587391"/>
    <w:rsid w:val="005A1164"/>
    <w:rsid w:val="005A1BF1"/>
    <w:rsid w:val="005D559C"/>
    <w:rsid w:val="0065489F"/>
    <w:rsid w:val="00670696"/>
    <w:rsid w:val="0068605A"/>
    <w:rsid w:val="006B024E"/>
    <w:rsid w:val="006B5AA8"/>
    <w:rsid w:val="006B7BD4"/>
    <w:rsid w:val="006C4E00"/>
    <w:rsid w:val="006D58D3"/>
    <w:rsid w:val="00710842"/>
    <w:rsid w:val="0072595D"/>
    <w:rsid w:val="00772D97"/>
    <w:rsid w:val="00775E71"/>
    <w:rsid w:val="007C430A"/>
    <w:rsid w:val="007D1B8D"/>
    <w:rsid w:val="007D1E6C"/>
    <w:rsid w:val="007E141F"/>
    <w:rsid w:val="007E2614"/>
    <w:rsid w:val="007E754A"/>
    <w:rsid w:val="00805458"/>
    <w:rsid w:val="008061A0"/>
    <w:rsid w:val="00835298"/>
    <w:rsid w:val="00842035"/>
    <w:rsid w:val="00853044"/>
    <w:rsid w:val="008557B3"/>
    <w:rsid w:val="008715C2"/>
    <w:rsid w:val="00876A33"/>
    <w:rsid w:val="00877578"/>
    <w:rsid w:val="00897776"/>
    <w:rsid w:val="008B4076"/>
    <w:rsid w:val="008B60B3"/>
    <w:rsid w:val="00905976"/>
    <w:rsid w:val="009261CC"/>
    <w:rsid w:val="00934DD8"/>
    <w:rsid w:val="0097645A"/>
    <w:rsid w:val="00983660"/>
    <w:rsid w:val="00994C05"/>
    <w:rsid w:val="00995A07"/>
    <w:rsid w:val="00995E0A"/>
    <w:rsid w:val="009E1BE7"/>
    <w:rsid w:val="00A1357C"/>
    <w:rsid w:val="00A15DB0"/>
    <w:rsid w:val="00A56A88"/>
    <w:rsid w:val="00A77D9F"/>
    <w:rsid w:val="00A90E5B"/>
    <w:rsid w:val="00AC3F04"/>
    <w:rsid w:val="00AE16E2"/>
    <w:rsid w:val="00B3538D"/>
    <w:rsid w:val="00B415F7"/>
    <w:rsid w:val="00B4453C"/>
    <w:rsid w:val="00B572EC"/>
    <w:rsid w:val="00B85D6F"/>
    <w:rsid w:val="00BC7043"/>
    <w:rsid w:val="00BD6DF6"/>
    <w:rsid w:val="00BE0A66"/>
    <w:rsid w:val="00BF5CA1"/>
    <w:rsid w:val="00C47853"/>
    <w:rsid w:val="00C645A0"/>
    <w:rsid w:val="00C65286"/>
    <w:rsid w:val="00C7131B"/>
    <w:rsid w:val="00C72897"/>
    <w:rsid w:val="00C852C2"/>
    <w:rsid w:val="00C9071D"/>
    <w:rsid w:val="00CC46DE"/>
    <w:rsid w:val="00D021AD"/>
    <w:rsid w:val="00D22B62"/>
    <w:rsid w:val="00D45D23"/>
    <w:rsid w:val="00D55E51"/>
    <w:rsid w:val="00D6782D"/>
    <w:rsid w:val="00DC21F8"/>
    <w:rsid w:val="00DC7A23"/>
    <w:rsid w:val="00DD0822"/>
    <w:rsid w:val="00DD27AF"/>
    <w:rsid w:val="00DD4C5D"/>
    <w:rsid w:val="00DE1741"/>
    <w:rsid w:val="00DE19C0"/>
    <w:rsid w:val="00DF48E1"/>
    <w:rsid w:val="00E00EB1"/>
    <w:rsid w:val="00E051EA"/>
    <w:rsid w:val="00E31AF5"/>
    <w:rsid w:val="00E51ECF"/>
    <w:rsid w:val="00E53674"/>
    <w:rsid w:val="00E74959"/>
    <w:rsid w:val="00E8183A"/>
    <w:rsid w:val="00EC4FA7"/>
    <w:rsid w:val="00F21996"/>
    <w:rsid w:val="00F26637"/>
    <w:rsid w:val="00F96FA2"/>
    <w:rsid w:val="00FA05D3"/>
    <w:rsid w:val="00FA6BE4"/>
    <w:rsid w:val="00FB2D0B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76E0-890C-43DF-AC60-16FA875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7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1C7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pisslike">
    <w:name w:val="caption"/>
    <w:basedOn w:val="Normal"/>
    <w:semiHidden/>
    <w:unhideWhenUsed/>
    <w:qFormat/>
    <w:rsid w:val="001C71E4"/>
    <w:pPr>
      <w:suppressLineNumbers/>
      <w:spacing w:before="120" w:after="120"/>
    </w:pPr>
    <w:rPr>
      <w:rFonts w:cs="Mangal"/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1C71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1C71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semiHidden/>
    <w:unhideWhenUsed/>
    <w:rsid w:val="001C71E4"/>
    <w:rPr>
      <w:rFonts w:cs="Mangal"/>
    </w:rPr>
  </w:style>
  <w:style w:type="paragraph" w:styleId="Tekstbalonia">
    <w:name w:val="Balloon Text"/>
    <w:basedOn w:val="Normal"/>
    <w:link w:val="TekstbaloniaChar1"/>
    <w:semiHidden/>
    <w:unhideWhenUsed/>
    <w:rsid w:val="001C71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semiHidden/>
    <w:rsid w:val="001C71E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Zaglavlje2">
    <w:name w:val="Zaglavlje2"/>
    <w:basedOn w:val="Normal"/>
    <w:next w:val="Tijeloteksta"/>
    <w:rsid w:val="001C71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ks">
    <w:name w:val="Indeks"/>
    <w:basedOn w:val="Normal"/>
    <w:rsid w:val="001C71E4"/>
    <w:pPr>
      <w:suppressLineNumbers/>
    </w:pPr>
    <w:rPr>
      <w:rFonts w:cs="Mangal"/>
    </w:rPr>
  </w:style>
  <w:style w:type="paragraph" w:customStyle="1" w:styleId="Zaglavlje1">
    <w:name w:val="Zaglavlje1"/>
    <w:basedOn w:val="Normal"/>
    <w:next w:val="Tijeloteksta"/>
    <w:rsid w:val="001C71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slike1">
    <w:name w:val="Opis slike1"/>
    <w:basedOn w:val="Normal"/>
    <w:rsid w:val="001C71E4"/>
    <w:pPr>
      <w:suppressLineNumbers/>
      <w:spacing w:before="120" w:after="120"/>
    </w:pPr>
    <w:rPr>
      <w:rFonts w:cs="Mangal"/>
      <w:i/>
      <w:iCs/>
    </w:rPr>
  </w:style>
  <w:style w:type="paragraph" w:customStyle="1" w:styleId="Sadrajitablice">
    <w:name w:val="Sadržaji tablice"/>
    <w:basedOn w:val="Normal"/>
    <w:rsid w:val="001C71E4"/>
    <w:pPr>
      <w:suppressLineNumbers/>
    </w:pPr>
  </w:style>
  <w:style w:type="paragraph" w:customStyle="1" w:styleId="Naslovtablice">
    <w:name w:val="Naslov tablice"/>
    <w:basedOn w:val="Sadrajitablice"/>
    <w:rsid w:val="001C71E4"/>
    <w:pPr>
      <w:jc w:val="center"/>
    </w:pPr>
    <w:rPr>
      <w:b/>
      <w:bCs/>
    </w:rPr>
  </w:style>
  <w:style w:type="character" w:customStyle="1" w:styleId="WW8Num1z0">
    <w:name w:val="WW8Num1z0"/>
    <w:rsid w:val="001C71E4"/>
    <w:rPr>
      <w:b w:val="0"/>
      <w:bCs w:val="0"/>
    </w:rPr>
  </w:style>
  <w:style w:type="character" w:customStyle="1" w:styleId="Absatz-Standardschriftart">
    <w:name w:val="Absatz-Standardschriftart"/>
    <w:rsid w:val="001C71E4"/>
  </w:style>
  <w:style w:type="character" w:customStyle="1" w:styleId="WW8Num2z0">
    <w:name w:val="WW8Num2z0"/>
    <w:rsid w:val="001C71E4"/>
    <w:rPr>
      <w:rFonts w:ascii="Symbol" w:hAnsi="Symbol" w:cs="Symbol" w:hint="default"/>
    </w:rPr>
  </w:style>
  <w:style w:type="character" w:customStyle="1" w:styleId="WW8Num3z0">
    <w:name w:val="WW8Num3z0"/>
    <w:rsid w:val="001C71E4"/>
    <w:rPr>
      <w:rFonts w:ascii="Times New Roman" w:hAnsi="Times New Roman" w:cs="Times New Roman" w:hint="default"/>
    </w:rPr>
  </w:style>
  <w:style w:type="character" w:customStyle="1" w:styleId="Zadanifontodlomka2">
    <w:name w:val="Zadani font odlomka2"/>
    <w:rsid w:val="001C71E4"/>
  </w:style>
  <w:style w:type="character" w:customStyle="1" w:styleId="WW8Num2z1">
    <w:name w:val="WW8Num2z1"/>
    <w:rsid w:val="001C71E4"/>
    <w:rPr>
      <w:rFonts w:ascii="Courier New" w:hAnsi="Courier New" w:cs="Courier New" w:hint="default"/>
    </w:rPr>
  </w:style>
  <w:style w:type="character" w:customStyle="1" w:styleId="WW8Num2z2">
    <w:name w:val="WW8Num2z2"/>
    <w:rsid w:val="001C71E4"/>
    <w:rPr>
      <w:rFonts w:ascii="Wingdings" w:hAnsi="Wingdings" w:cs="Wingdings" w:hint="default"/>
    </w:rPr>
  </w:style>
  <w:style w:type="character" w:customStyle="1" w:styleId="WW8Num4z0">
    <w:name w:val="WW8Num4z0"/>
    <w:rsid w:val="001C71E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C71E4"/>
    <w:rPr>
      <w:rFonts w:ascii="Courier New" w:hAnsi="Courier New" w:cs="Courier New" w:hint="default"/>
    </w:rPr>
  </w:style>
  <w:style w:type="character" w:customStyle="1" w:styleId="WW8Num4z2">
    <w:name w:val="WW8Num4z2"/>
    <w:rsid w:val="001C71E4"/>
    <w:rPr>
      <w:rFonts w:ascii="Wingdings" w:hAnsi="Wingdings" w:cs="Wingdings" w:hint="default"/>
    </w:rPr>
  </w:style>
  <w:style w:type="character" w:customStyle="1" w:styleId="WW8Num4z3">
    <w:name w:val="WW8Num4z3"/>
    <w:rsid w:val="001C71E4"/>
    <w:rPr>
      <w:rFonts w:ascii="Symbol" w:hAnsi="Symbol" w:cs="Symbol" w:hint="default"/>
    </w:rPr>
  </w:style>
  <w:style w:type="character" w:customStyle="1" w:styleId="WW8Num5z0">
    <w:name w:val="WW8Num5z0"/>
    <w:rsid w:val="001C71E4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1C71E4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6z1">
    <w:name w:val="WW8Num6z1"/>
    <w:rsid w:val="001C71E4"/>
    <w:rPr>
      <w:rFonts w:ascii="Courier New" w:hAnsi="Courier New" w:cs="Courier New" w:hint="default"/>
    </w:rPr>
  </w:style>
  <w:style w:type="character" w:customStyle="1" w:styleId="WW8Num6z2">
    <w:name w:val="WW8Num6z2"/>
    <w:rsid w:val="001C71E4"/>
    <w:rPr>
      <w:rFonts w:ascii="Wingdings" w:hAnsi="Wingdings" w:cs="Wingdings" w:hint="default"/>
    </w:rPr>
  </w:style>
  <w:style w:type="character" w:customStyle="1" w:styleId="WW8Num6z3">
    <w:name w:val="WW8Num6z3"/>
    <w:rsid w:val="001C71E4"/>
    <w:rPr>
      <w:rFonts w:ascii="Symbol" w:hAnsi="Symbol" w:cs="Symbol" w:hint="default"/>
    </w:rPr>
  </w:style>
  <w:style w:type="character" w:customStyle="1" w:styleId="WW8Num7z0">
    <w:name w:val="WW8Num7z0"/>
    <w:rsid w:val="001C71E4"/>
    <w:rPr>
      <w:rFonts w:ascii="Symbol" w:hAnsi="Symbol" w:cs="Symbol" w:hint="default"/>
    </w:rPr>
  </w:style>
  <w:style w:type="character" w:customStyle="1" w:styleId="WW8Num7z1">
    <w:name w:val="WW8Num7z1"/>
    <w:rsid w:val="001C71E4"/>
    <w:rPr>
      <w:rFonts w:ascii="Courier New" w:hAnsi="Courier New" w:cs="Courier New" w:hint="default"/>
    </w:rPr>
  </w:style>
  <w:style w:type="character" w:customStyle="1" w:styleId="WW8Num7z2">
    <w:name w:val="WW8Num7z2"/>
    <w:rsid w:val="001C71E4"/>
    <w:rPr>
      <w:rFonts w:ascii="Wingdings" w:hAnsi="Wingdings" w:cs="Wingdings" w:hint="default"/>
    </w:rPr>
  </w:style>
  <w:style w:type="character" w:customStyle="1" w:styleId="WW8Num12z0">
    <w:name w:val="WW8Num12z0"/>
    <w:rsid w:val="001C71E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C71E4"/>
    <w:rPr>
      <w:rFonts w:ascii="Courier New" w:hAnsi="Courier New" w:cs="Courier New" w:hint="default"/>
    </w:rPr>
  </w:style>
  <w:style w:type="character" w:customStyle="1" w:styleId="WW8Num12z2">
    <w:name w:val="WW8Num12z2"/>
    <w:rsid w:val="001C71E4"/>
    <w:rPr>
      <w:rFonts w:ascii="Wingdings" w:hAnsi="Wingdings" w:cs="Wingdings" w:hint="default"/>
    </w:rPr>
  </w:style>
  <w:style w:type="character" w:customStyle="1" w:styleId="WW8Num12z3">
    <w:name w:val="WW8Num12z3"/>
    <w:rsid w:val="001C71E4"/>
    <w:rPr>
      <w:rFonts w:ascii="Symbol" w:hAnsi="Symbol" w:cs="Symbol" w:hint="default"/>
    </w:rPr>
  </w:style>
  <w:style w:type="character" w:customStyle="1" w:styleId="WW8Num13z0">
    <w:name w:val="WW8Num13z0"/>
    <w:rsid w:val="001C71E4"/>
    <w:rPr>
      <w:rFonts w:ascii="Symbol" w:hAnsi="Symbol" w:cs="Symbol" w:hint="default"/>
    </w:rPr>
  </w:style>
  <w:style w:type="character" w:customStyle="1" w:styleId="WW8Num13z1">
    <w:name w:val="WW8Num13z1"/>
    <w:rsid w:val="001C71E4"/>
    <w:rPr>
      <w:rFonts w:ascii="Courier New" w:hAnsi="Courier New" w:cs="Courier New" w:hint="default"/>
    </w:rPr>
  </w:style>
  <w:style w:type="character" w:customStyle="1" w:styleId="WW8Num13z2">
    <w:name w:val="WW8Num13z2"/>
    <w:rsid w:val="001C71E4"/>
    <w:rPr>
      <w:rFonts w:ascii="Wingdings" w:hAnsi="Wingdings" w:cs="Wingdings" w:hint="default"/>
    </w:rPr>
  </w:style>
  <w:style w:type="character" w:customStyle="1" w:styleId="WW8Num14z0">
    <w:name w:val="WW8Num14z0"/>
    <w:rsid w:val="001C71E4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1C71E4"/>
    <w:rPr>
      <w:rFonts w:ascii="Courier New" w:hAnsi="Courier New" w:cs="Courier New" w:hint="default"/>
    </w:rPr>
  </w:style>
  <w:style w:type="character" w:customStyle="1" w:styleId="WW8Num14z2">
    <w:name w:val="WW8Num14z2"/>
    <w:rsid w:val="001C71E4"/>
    <w:rPr>
      <w:rFonts w:ascii="Wingdings" w:hAnsi="Wingdings" w:cs="Wingdings" w:hint="default"/>
    </w:rPr>
  </w:style>
  <w:style w:type="character" w:customStyle="1" w:styleId="WW8Num14z3">
    <w:name w:val="WW8Num14z3"/>
    <w:rsid w:val="001C71E4"/>
    <w:rPr>
      <w:rFonts w:ascii="Symbol" w:hAnsi="Symbol" w:cs="Symbol" w:hint="default"/>
    </w:rPr>
  </w:style>
  <w:style w:type="character" w:customStyle="1" w:styleId="Zadanifontodlomka1">
    <w:name w:val="Zadani font odlomka1"/>
    <w:rsid w:val="001C71E4"/>
  </w:style>
  <w:style w:type="character" w:customStyle="1" w:styleId="Grafikeoznake1">
    <w:name w:val="Grafičke oznake1"/>
    <w:rsid w:val="001C71E4"/>
    <w:rPr>
      <w:rFonts w:ascii="OpenSymbol" w:eastAsia="OpenSymbol" w:hAnsi="OpenSymbol" w:cs="OpenSymbol" w:hint="eastAsia"/>
    </w:rPr>
  </w:style>
  <w:style w:type="character" w:customStyle="1" w:styleId="TekstbaloniaChar1">
    <w:name w:val="Tekst balončića Char1"/>
    <w:basedOn w:val="Zadanifontodlomka"/>
    <w:link w:val="Tekstbalonia"/>
    <w:semiHidden/>
    <w:locked/>
    <w:rsid w:val="001C71E4"/>
    <w:rPr>
      <w:rFonts w:ascii="Segoe UI" w:eastAsia="Times New Roman" w:hAnsi="Segoe UI" w:cs="Segoe UI"/>
      <w:sz w:val="18"/>
      <w:szCs w:val="18"/>
      <w:lang w:eastAsia="zh-CN"/>
    </w:rPr>
  </w:style>
  <w:style w:type="table" w:styleId="Reetkatablice">
    <w:name w:val="Table Grid"/>
    <w:basedOn w:val="Obinatablica"/>
    <w:uiPriority w:val="39"/>
    <w:rsid w:val="001C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69CC-24F1-493D-8DA0-18EC1058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Osnovnaškola Vodice2</cp:lastModifiedBy>
  <cp:revision>2</cp:revision>
  <cp:lastPrinted>2019-11-04T11:20:00Z</cp:lastPrinted>
  <dcterms:created xsi:type="dcterms:W3CDTF">2020-02-07T09:24:00Z</dcterms:created>
  <dcterms:modified xsi:type="dcterms:W3CDTF">2020-02-07T09:24:00Z</dcterms:modified>
</cp:coreProperties>
</file>